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B15" w:rsidRDefault="00A62B15" w:rsidP="00A62B15">
      <w:pPr>
        <w:pStyle w:val="BasicParagraph"/>
        <w:suppressAutoHyphens/>
        <w:jc w:val="both"/>
        <w:rPr>
          <w:rFonts w:ascii="Calibri" w:hAnsi="Calibri" w:cs="Calibri"/>
          <w:b/>
          <w:bCs/>
          <w:sz w:val="26"/>
          <w:szCs w:val="26"/>
        </w:rPr>
      </w:pPr>
    </w:p>
    <w:p w:rsidR="00A62B15" w:rsidRDefault="00A62B15" w:rsidP="00A62B15">
      <w:pPr>
        <w:pStyle w:val="BasicParagraph"/>
        <w:suppressAutoHyphens/>
        <w:jc w:val="both"/>
        <w:rPr>
          <w:rFonts w:ascii="Calibri" w:hAnsi="Calibri" w:cs="Calibri"/>
          <w:b/>
          <w:bCs/>
          <w:sz w:val="26"/>
          <w:szCs w:val="26"/>
        </w:rPr>
      </w:pPr>
    </w:p>
    <w:p w:rsidR="0064053C" w:rsidRPr="00EE3E9E" w:rsidRDefault="0064053C" w:rsidP="00EE3E9E">
      <w:pPr>
        <w:pStyle w:val="BasicParagraph"/>
        <w:suppressAutoHyphens/>
        <w:jc w:val="both"/>
        <w:rPr>
          <w:rFonts w:ascii="Calibri" w:hAnsi="Calibri" w:cs="Calibri"/>
          <w:sz w:val="22"/>
          <w:szCs w:val="22"/>
        </w:rPr>
      </w:pPr>
    </w:p>
    <w:p w:rsidR="00A62B15" w:rsidRDefault="00EE3E9E">
      <w:r>
        <w:rPr>
          <w:noProof/>
        </w:rPr>
        <mc:AlternateContent>
          <mc:Choice Requires="wps">
            <w:drawing>
              <wp:anchor distT="0" distB="0" distL="114300" distR="114300" simplePos="0" relativeHeight="251663360" behindDoc="0" locked="0" layoutInCell="1" allowOverlap="1" wp14:editId="36B11C9B">
                <wp:simplePos x="0" y="0"/>
                <wp:positionH relativeFrom="column">
                  <wp:posOffset>-178347</wp:posOffset>
                </wp:positionH>
                <wp:positionV relativeFrom="paragraph">
                  <wp:posOffset>8394</wp:posOffset>
                </wp:positionV>
                <wp:extent cx="2852257" cy="107379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257" cy="1073790"/>
                        </a:xfrm>
                        <a:prstGeom prst="rect">
                          <a:avLst/>
                        </a:prstGeom>
                        <a:noFill/>
                        <a:ln w="9525">
                          <a:noFill/>
                          <a:miter lim="800000"/>
                          <a:headEnd/>
                          <a:tailEnd/>
                        </a:ln>
                      </wps:spPr>
                      <wps:txbx>
                        <w:txbxContent>
                          <w:p w:rsidR="00EE3E9E" w:rsidRPr="00EE3E9E" w:rsidRDefault="00EE3E9E">
                            <w:pPr>
                              <w:rPr>
                                <w:b/>
                                <w:sz w:val="60"/>
                                <w:szCs w:val="60"/>
                              </w:rPr>
                            </w:pPr>
                            <w:bookmarkStart w:id="0" w:name="_GoBack"/>
                            <w:r w:rsidRPr="00EE3E9E">
                              <w:rPr>
                                <w:b/>
                                <w:sz w:val="60"/>
                                <w:szCs w:val="60"/>
                              </w:rPr>
                              <w:t xml:space="preserve">Frequently </w:t>
                            </w:r>
                            <w:r w:rsidRPr="00EE3E9E">
                              <w:rPr>
                                <w:b/>
                                <w:sz w:val="60"/>
                                <w:szCs w:val="60"/>
                              </w:rPr>
                              <w:br/>
                              <w:t>Asked Questions</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05pt;margin-top:.65pt;width:224.6pt;height:8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b42DAIAAPMDAAAOAAAAZHJzL2Uyb0RvYy54bWysU9tuGyEQfa/Uf0C817ve2rG9Mo7SpKkq&#10;pRcp6QdglvWiAkMBe9f9+gys41jtW1UeEMPMHOacGdbXg9HkIH1QYBmdTkpKpBXQKLtj9MfT/bsl&#10;JSFy23ANVjJ6lIFeb96+WfeulhV0oBvpCYLYUPeO0S5GVxdFEJ00PEzASYvOFrzhEU2/KxrPe0Q3&#10;uqjK8qrowTfOg5Ah4O3d6KSbjN+2UsRvbRtkJJpRrC3m3ed9m/Zis+b1znPXKXEqg/9DFYYri4+e&#10;oe545GTv1V9QRgkPAdo4EWAKaFslZOaAbKblH2weO+5k5oLiBHeWKfw/WPH18N0T1TB6RYnlBlv0&#10;JIdIPsBAqqRO70KNQY8Ow+KA19jlzDS4BxA/A7Fw23G7kzfeQ99J3mB105RZXKSOOCGBbPsv0OAz&#10;fB8hAw2tN0k6FIMgOnbpeO5MKkXgZbWcV9V8QYlA37RcvF+scu8KXr+kOx/iJwmGpAOjHluf4fnh&#10;IcRUDq9fQtJrFu6V1rn92pKe0dW8mueEC49REadTK8PoskxrnJfE8qNtcnLkSo9nfEDbE+3EdOQc&#10;h+2AgUmLLTRHFMDDOIX4a/DQgf9NSY8TyGj4tedeUqI/WxRxNZ3N0shmYzZfVGj4S8/20sOtQChG&#10;IyXj8TbmMR+53qDYrcoyvFZyqhUnK6tz+gVpdC/tHPX6VzfPAAAA//8DAFBLAwQUAAYACAAAACEA&#10;DbneetwAAAAJAQAADwAAAGRycy9kb3ducmV2LnhtbEyPwU7DMBBE70j9B2uRuLV2QiglxKkQiCuI&#10;llbi5sbbJGq8jmK3CX/PcoLj04xm3xbryXXigkNoPWlIFgoEUuVtS7WGz+3rfAUiREPWdJ5QwzcG&#10;WJezq8Lk1o/0gZdNrAWPUMiNhibGPpcyVA06Exa+R+Ls6AdnIuNQSzuYkcddJ1OlltKZlvhCY3p8&#10;brA6bc5Ow+7t+LXP1Hv94u760U9KknuQWt9cT0+PICJO8a8Mv/qsDiU7HfyZbBCdhnm6SrjKwS0I&#10;zrM0YT4w36sMZFnI/x+UPwAAAP//AwBQSwECLQAUAAYACAAAACEAtoM4kv4AAADhAQAAEwAAAAAA&#10;AAAAAAAAAAAAAAAAW0NvbnRlbnRfVHlwZXNdLnhtbFBLAQItABQABgAIAAAAIQA4/SH/1gAAAJQB&#10;AAALAAAAAAAAAAAAAAAAAC8BAABfcmVscy8ucmVsc1BLAQItABQABgAIAAAAIQDs1b42DAIAAPMD&#10;AAAOAAAAAAAAAAAAAAAAAC4CAABkcnMvZTJvRG9jLnhtbFBLAQItABQABgAIAAAAIQANud563AAA&#10;AAkBAAAPAAAAAAAAAAAAAAAAAGYEAABkcnMvZG93bnJldi54bWxQSwUGAAAAAAQABADzAAAAbwUA&#10;AAAA&#10;" filled="f" stroked="f">
                <v:textbox>
                  <w:txbxContent>
                    <w:p w:rsidR="00EE3E9E" w:rsidRPr="00EE3E9E" w:rsidRDefault="00EE3E9E">
                      <w:pPr>
                        <w:rPr>
                          <w:b/>
                          <w:sz w:val="60"/>
                          <w:szCs w:val="60"/>
                        </w:rPr>
                      </w:pPr>
                      <w:bookmarkStart w:id="1" w:name="_GoBack"/>
                      <w:r w:rsidRPr="00EE3E9E">
                        <w:rPr>
                          <w:b/>
                          <w:sz w:val="60"/>
                          <w:szCs w:val="60"/>
                        </w:rPr>
                        <w:t xml:space="preserve">Frequently </w:t>
                      </w:r>
                      <w:r w:rsidRPr="00EE3E9E">
                        <w:rPr>
                          <w:b/>
                          <w:sz w:val="60"/>
                          <w:szCs w:val="60"/>
                        </w:rPr>
                        <w:br/>
                        <w:t>Asked Questions</w:t>
                      </w:r>
                      <w:bookmarkEnd w:id="1"/>
                    </w:p>
                  </w:txbxContent>
                </v:textbox>
              </v:shape>
            </w:pict>
          </mc:Fallback>
        </mc:AlternateContent>
      </w:r>
      <w:r w:rsidRPr="00EE3E9E">
        <w:rPr>
          <w:rFonts w:ascii="Calibri" w:hAnsi="Calibri" w:cs="Calibri"/>
          <w:b/>
          <w:bCs/>
          <w:noProof/>
          <w:sz w:val="26"/>
          <w:szCs w:val="26"/>
        </w:rPr>
        <mc:AlternateContent>
          <mc:Choice Requires="wps">
            <w:drawing>
              <wp:anchor distT="0" distB="0" distL="114300" distR="114300" simplePos="0" relativeHeight="251661312" behindDoc="0" locked="0" layoutInCell="1" allowOverlap="1" wp14:anchorId="75CFE09A" wp14:editId="42E86E61">
                <wp:simplePos x="0" y="0"/>
                <wp:positionH relativeFrom="column">
                  <wp:posOffset>3326130</wp:posOffset>
                </wp:positionH>
                <wp:positionV relativeFrom="paragraph">
                  <wp:posOffset>1166495</wp:posOffset>
                </wp:positionV>
                <wp:extent cx="3724275" cy="724789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7247890"/>
                        </a:xfrm>
                        <a:prstGeom prst="rect">
                          <a:avLst/>
                        </a:prstGeom>
                        <a:noFill/>
                        <a:ln w="9525">
                          <a:noFill/>
                          <a:miter lim="800000"/>
                          <a:headEnd/>
                          <a:tailEnd/>
                        </a:ln>
                      </wps:spPr>
                      <wps:txbx>
                        <w:txbxContent>
                          <w:p w:rsidR="00EE3E9E" w:rsidRDefault="00EE3E9E" w:rsidP="00EE3E9E">
                            <w:pPr>
                              <w:pStyle w:val="BasicParagraph"/>
                              <w:suppressAutoHyphens/>
                              <w:spacing w:line="240" w:lineRule="auto"/>
                              <w:rPr>
                                <w:rFonts w:ascii="Calibri" w:hAnsi="Calibri" w:cs="Calibri"/>
                                <w:sz w:val="22"/>
                                <w:szCs w:val="22"/>
                              </w:rPr>
                            </w:pPr>
                            <w:r>
                              <w:rPr>
                                <w:rFonts w:ascii="Calibri" w:hAnsi="Calibri" w:cs="Calibri"/>
                                <w:b/>
                                <w:bCs/>
                                <w:sz w:val="26"/>
                                <w:szCs w:val="26"/>
                              </w:rPr>
                              <w:t>What about employees who commute long distances to and from work?</w:t>
                            </w:r>
                          </w:p>
                          <w:p w:rsidR="00EE3E9E" w:rsidRDefault="00EE3E9E" w:rsidP="00EE3E9E">
                            <w:pPr>
                              <w:pStyle w:val="BasicParagraph"/>
                              <w:suppressAutoHyphens/>
                              <w:spacing w:line="240" w:lineRule="auto"/>
                              <w:rPr>
                                <w:rFonts w:ascii="Calibri" w:hAnsi="Calibri" w:cs="Calibri"/>
                                <w:sz w:val="22"/>
                                <w:szCs w:val="22"/>
                              </w:rPr>
                            </w:pPr>
                            <w:r>
                              <w:rPr>
                                <w:rFonts w:ascii="Calibri" w:hAnsi="Calibri" w:cs="Calibri"/>
                                <w:sz w:val="22"/>
                                <w:szCs w:val="22"/>
                              </w:rPr>
                              <w:t xml:space="preserve">As a Closed POD, you should expect to provide medications to all employees and their families. Long-distance commuters should be included in the planning process, but they are NOT required to attend your POD. It may be more convenient for these individuals to attend Open (public) PODs near their residences. </w:t>
                            </w:r>
                          </w:p>
                          <w:p w:rsidR="00EE3E9E" w:rsidRDefault="00EE3E9E" w:rsidP="00EE3E9E">
                            <w:pPr>
                              <w:pStyle w:val="BasicParagraph"/>
                              <w:suppressAutoHyphens/>
                              <w:spacing w:line="240" w:lineRule="auto"/>
                              <w:rPr>
                                <w:rFonts w:ascii="Calibri" w:hAnsi="Calibri" w:cs="Calibri"/>
                                <w:sz w:val="22"/>
                                <w:szCs w:val="22"/>
                              </w:rPr>
                            </w:pPr>
                          </w:p>
                          <w:p w:rsidR="00EE3E9E" w:rsidRDefault="00EE3E9E" w:rsidP="00EE3E9E">
                            <w:pPr>
                              <w:pStyle w:val="BasicParagraph"/>
                              <w:suppressAutoHyphens/>
                              <w:spacing w:line="240" w:lineRule="auto"/>
                              <w:rPr>
                                <w:rFonts w:ascii="Calibri" w:hAnsi="Calibri" w:cs="Calibri"/>
                                <w:sz w:val="22"/>
                                <w:szCs w:val="22"/>
                              </w:rPr>
                            </w:pPr>
                            <w:r>
                              <w:rPr>
                                <w:rFonts w:ascii="Calibri" w:hAnsi="Calibri" w:cs="Calibri"/>
                                <w:b/>
                                <w:bCs/>
                                <w:sz w:val="26"/>
                                <w:szCs w:val="26"/>
                              </w:rPr>
                              <w:t>Could some parts of the region be affected more than others?</w:t>
                            </w:r>
                          </w:p>
                          <w:p w:rsidR="00EE3E9E" w:rsidRDefault="00EE3E9E" w:rsidP="00EE3E9E">
                            <w:pPr>
                              <w:pStyle w:val="BasicParagraph"/>
                              <w:suppressAutoHyphens/>
                              <w:spacing w:line="240" w:lineRule="auto"/>
                              <w:rPr>
                                <w:rFonts w:ascii="Calibri" w:hAnsi="Calibri" w:cs="Calibri"/>
                                <w:sz w:val="22"/>
                                <w:szCs w:val="22"/>
                              </w:rPr>
                            </w:pPr>
                            <w:r>
                              <w:rPr>
                                <w:rFonts w:ascii="Calibri" w:hAnsi="Calibri" w:cs="Calibri"/>
                                <w:sz w:val="22"/>
                                <w:szCs w:val="22"/>
                              </w:rPr>
                              <w:t xml:space="preserve">Public health emergencies can vary dramatically depending on factors such as weather, the disease, the mode of transmission, etc. It is entirely possible that some parts of the region may be required to provide emergency medications while others may not. OCHD will use epidemiology—the study and/or investigation of diseases and outbreaks in a defined area or population—to determine the full impact of the public health emergency. Please be aware that even though an emergency event might occur, the services of your Closed POD may not be needed. OCHD will provide up-to-date information throughout the </w:t>
                            </w:r>
                            <w:r>
                              <w:rPr>
                                <w:rFonts w:ascii="Calibri" w:hAnsi="Calibri" w:cs="Calibri"/>
                                <w:sz w:val="22"/>
                                <w:szCs w:val="22"/>
                              </w:rPr>
                              <w:t>incident</w:t>
                            </w:r>
                            <w:r>
                              <w:rPr>
                                <w:rFonts w:ascii="Calibri" w:hAnsi="Calibri" w:cs="Calibri"/>
                                <w:sz w:val="22"/>
                                <w:szCs w:val="22"/>
                              </w:rPr>
                              <w:t>.</w:t>
                            </w:r>
                          </w:p>
                          <w:p w:rsidR="00EE3E9E" w:rsidRDefault="00EE3E9E" w:rsidP="00EE3E9E">
                            <w:pPr>
                              <w:pStyle w:val="BasicParagraph"/>
                              <w:suppressAutoHyphens/>
                              <w:spacing w:line="240" w:lineRule="auto"/>
                              <w:rPr>
                                <w:rFonts w:ascii="Calibri" w:hAnsi="Calibri" w:cs="Calibri"/>
                                <w:sz w:val="22"/>
                                <w:szCs w:val="22"/>
                              </w:rPr>
                            </w:pPr>
                          </w:p>
                          <w:p w:rsidR="00EE3E9E" w:rsidRDefault="00EE3E9E" w:rsidP="00EE3E9E">
                            <w:pPr>
                              <w:pStyle w:val="BasicParagraph"/>
                              <w:suppressAutoHyphens/>
                              <w:spacing w:line="240" w:lineRule="auto"/>
                              <w:rPr>
                                <w:rFonts w:ascii="Calibri" w:hAnsi="Calibri" w:cs="Calibri"/>
                                <w:sz w:val="22"/>
                                <w:szCs w:val="22"/>
                              </w:rPr>
                            </w:pPr>
                            <w:r>
                              <w:rPr>
                                <w:rFonts w:ascii="Calibri" w:hAnsi="Calibri" w:cs="Calibri"/>
                                <w:b/>
                                <w:bCs/>
                                <w:sz w:val="26"/>
                                <w:szCs w:val="26"/>
                              </w:rPr>
                              <w:t xml:space="preserve">What if employees work in Oakland County, but live in another county?  </w:t>
                            </w:r>
                          </w:p>
                          <w:p w:rsidR="00EE3E9E" w:rsidRDefault="00EE3E9E" w:rsidP="00EE3E9E">
                            <w:pPr>
                              <w:pStyle w:val="BasicParagraph"/>
                              <w:suppressAutoHyphens/>
                              <w:spacing w:line="240" w:lineRule="auto"/>
                              <w:rPr>
                                <w:rFonts w:ascii="Calibri" w:hAnsi="Calibri" w:cs="Calibri"/>
                                <w:sz w:val="22"/>
                                <w:szCs w:val="22"/>
                              </w:rPr>
                            </w:pPr>
                            <w:r>
                              <w:rPr>
                                <w:rFonts w:ascii="Calibri" w:hAnsi="Calibri" w:cs="Calibri"/>
                                <w:sz w:val="22"/>
                                <w:szCs w:val="22"/>
                              </w:rPr>
                              <w:t xml:space="preserve">This plan is intended to cover all employees who work at your organization no matter where they reside. If an employee is unable to report to work, they may go to an Open POD in their resident county. </w:t>
                            </w:r>
                          </w:p>
                          <w:p w:rsidR="00EE3E9E" w:rsidRDefault="00EE3E9E" w:rsidP="00EE3E9E">
                            <w:pPr>
                              <w:pStyle w:val="BasicParagraph"/>
                              <w:suppressAutoHyphens/>
                              <w:spacing w:line="240" w:lineRule="auto"/>
                              <w:rPr>
                                <w:rFonts w:ascii="Calibri" w:hAnsi="Calibri" w:cs="Calibri"/>
                                <w:sz w:val="22"/>
                                <w:szCs w:val="22"/>
                              </w:rPr>
                            </w:pPr>
                          </w:p>
                          <w:p w:rsidR="00EE3E9E" w:rsidRDefault="00EE3E9E" w:rsidP="00EE3E9E">
                            <w:pPr>
                              <w:pStyle w:val="BasicParagraph"/>
                              <w:suppressAutoHyphens/>
                              <w:spacing w:line="240" w:lineRule="auto"/>
                              <w:rPr>
                                <w:rFonts w:ascii="Calibri" w:hAnsi="Calibri" w:cs="Calibri"/>
                                <w:sz w:val="22"/>
                                <w:szCs w:val="22"/>
                              </w:rPr>
                            </w:pPr>
                            <w:r>
                              <w:rPr>
                                <w:rFonts w:ascii="Calibri" w:hAnsi="Calibri" w:cs="Calibri"/>
                                <w:b/>
                                <w:bCs/>
                                <w:sz w:val="26"/>
                                <w:szCs w:val="26"/>
                              </w:rPr>
                              <w:t>What happens after dispensing operations are completed?</w:t>
                            </w:r>
                          </w:p>
                          <w:p w:rsidR="00EE3E9E" w:rsidRDefault="00EE3E9E" w:rsidP="00EE3E9E">
                            <w:pPr>
                              <w:pStyle w:val="BasicParagraph"/>
                              <w:suppressAutoHyphens/>
                              <w:spacing w:line="240" w:lineRule="auto"/>
                              <w:rPr>
                                <w:rFonts w:ascii="Calibri" w:hAnsi="Calibri" w:cs="Calibri"/>
                                <w:sz w:val="22"/>
                                <w:szCs w:val="22"/>
                              </w:rPr>
                            </w:pPr>
                            <w:r>
                              <w:rPr>
                                <w:rFonts w:ascii="Calibri" w:hAnsi="Calibri" w:cs="Calibri"/>
                                <w:sz w:val="22"/>
                                <w:szCs w:val="22"/>
                              </w:rPr>
                              <w:t>Upon notifying OCHD that you have completed your medication dispensing, you will be instructed to transition to recovery and provide the following to OCHD:</w:t>
                            </w:r>
                          </w:p>
                          <w:p w:rsidR="00EE3E9E" w:rsidRDefault="00EE3E9E" w:rsidP="00EE3E9E">
                            <w:pPr>
                              <w:pStyle w:val="BasicParagraph"/>
                              <w:numPr>
                                <w:ilvl w:val="0"/>
                                <w:numId w:val="1"/>
                              </w:numPr>
                              <w:suppressAutoHyphens/>
                              <w:spacing w:line="240" w:lineRule="auto"/>
                              <w:ind w:left="648" w:hanging="288"/>
                              <w:rPr>
                                <w:rFonts w:ascii="Calibri" w:hAnsi="Calibri" w:cs="Calibri"/>
                                <w:sz w:val="22"/>
                                <w:szCs w:val="22"/>
                              </w:rPr>
                            </w:pPr>
                            <w:r>
                              <w:rPr>
                                <w:rFonts w:ascii="Calibri" w:hAnsi="Calibri" w:cs="Calibri"/>
                                <w:sz w:val="22"/>
                                <w:szCs w:val="22"/>
                              </w:rPr>
                              <w:t>Any unused medications</w:t>
                            </w:r>
                          </w:p>
                          <w:p w:rsidR="00EE3E9E" w:rsidRDefault="00EE3E9E" w:rsidP="00EE3E9E">
                            <w:pPr>
                              <w:pStyle w:val="ListParagraph"/>
                              <w:numPr>
                                <w:ilvl w:val="0"/>
                                <w:numId w:val="1"/>
                              </w:numPr>
                              <w:spacing w:after="0" w:line="240" w:lineRule="auto"/>
                              <w:ind w:left="648" w:hanging="288"/>
                            </w:pPr>
                            <w:r w:rsidRPr="00EE3E9E">
                              <w:rPr>
                                <w:rFonts w:ascii="Calibri" w:hAnsi="Calibri" w:cs="Calibri"/>
                              </w:rPr>
                              <w:t>Copies of all Head of Household medication screening forms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1.9pt;margin-top:91.85pt;width:293.25pt;height:57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uAbDQIAAPoDAAAOAAAAZHJzL2Uyb0RvYy54bWysU8tu2zAQvBfoPxC817JVu7YFy0GaNEWB&#10;9AEk/YA1RVlESS5L0pbSr++SchyjvRXVQVhyucOZ2eXmajCaHaUPCm3NZ5MpZ9IKbJTd1/z7492b&#10;FWchgm1Ao5U1f5KBX21fv9r0rpIldqgb6RmB2FD1ruZdjK4qiiA6aSBM0ElLyRa9gUhLvy8aDz2h&#10;G12U0+m7okffOI9ChkC7t2OSbzN+20oRv7ZtkJHpmhO3mP8+/3fpX2w3UO09uE6JEw34BxYGlKVL&#10;z1C3EIEdvPoLyijhMWAbJwJNgW2rhMwaSM1s+oeahw6czFrInODONoX/Byu+HL95ppqaLzizYKhF&#10;j3KI7D0OrEzu9C5UdOjB0bE40DZ1OSsN7h7Fj8As3nRg9/Lae+w7CQ2xm6XK4qJ0xAkJZNd/xoau&#10;gUPEDDS03iTryAxG6NSlp3NnEhVBm2+X5bxcEkVBOYqXq3XuXQHVc7nzIX6UaFgKau6p9Rkejvch&#10;JjpQPR9Jt1m8U1rn9mvL+pqvF+UiF1xkjIo0nVqZmq+m6RvnJan8YJtcHEHpMaYLtD3JTkpHzXHY&#10;Ddnf7EmyZIfNE/ngcRxGejwUdOh/cdbTINY8/DyAl5zpT5a8XM/m8zS5eTFfLEta+MvM7jIDVhBU&#10;zSNnY3gT87SPkq/J81ZlN16YnCjTgGWTTo8hTfDlOp96ebLb3wAAAP//AwBQSwMEFAAGAAgAAAAh&#10;ACjU3y7gAAAADQEAAA8AAABkcnMvZG93bnJldi54bWxMj8FOwzAQRO9I/IO1SNyonYTQEuJUCMQV&#10;1EKRuLnxNomI11HsNuHv2Z7gNqsZzbwt17PrxQnH0HnSkCwUCKTa244aDR/vLzcrECEasqb3hBp+&#10;MMC6urwoTWH9RBs8bWMjuIRCYTS0MQ6FlKFu0Zmw8AMSewc/OhP5HBtpRzNxuetlqtSddKYjXmjN&#10;gE8t1t/bo9Owez18fd6qt+bZ5cPkZyXJ3Uutr6/mxwcQEef4F4YzPqNDxUx7fyQbRK8hTzNGj2ys&#10;siWIcyJJVAZizypL8wRkVcr/X1S/AAAA//8DAFBLAQItABQABgAIAAAAIQC2gziS/gAAAOEBAAAT&#10;AAAAAAAAAAAAAAAAAAAAAABbQ29udGVudF9UeXBlc10ueG1sUEsBAi0AFAAGAAgAAAAhADj9If/W&#10;AAAAlAEAAAsAAAAAAAAAAAAAAAAALwEAAF9yZWxzLy5yZWxzUEsBAi0AFAAGAAgAAAAhAA9q4BsN&#10;AgAA+gMAAA4AAAAAAAAAAAAAAAAALgIAAGRycy9lMm9Eb2MueG1sUEsBAi0AFAAGAAgAAAAhACjU&#10;3y7gAAAADQEAAA8AAAAAAAAAAAAAAAAAZwQAAGRycy9kb3ducmV2LnhtbFBLBQYAAAAABAAEAPMA&#10;AAB0BQAAAAA=&#10;" filled="f" stroked="f">
                <v:textbox>
                  <w:txbxContent>
                    <w:p w:rsidR="00EE3E9E" w:rsidRDefault="00EE3E9E" w:rsidP="00EE3E9E">
                      <w:pPr>
                        <w:pStyle w:val="BasicParagraph"/>
                        <w:suppressAutoHyphens/>
                        <w:spacing w:line="240" w:lineRule="auto"/>
                        <w:rPr>
                          <w:rFonts w:ascii="Calibri" w:hAnsi="Calibri" w:cs="Calibri"/>
                          <w:sz w:val="22"/>
                          <w:szCs w:val="22"/>
                        </w:rPr>
                      </w:pPr>
                      <w:r>
                        <w:rPr>
                          <w:rFonts w:ascii="Calibri" w:hAnsi="Calibri" w:cs="Calibri"/>
                          <w:b/>
                          <w:bCs/>
                          <w:sz w:val="26"/>
                          <w:szCs w:val="26"/>
                        </w:rPr>
                        <w:t>What about employees who commute long distances to and from work?</w:t>
                      </w:r>
                    </w:p>
                    <w:p w:rsidR="00EE3E9E" w:rsidRDefault="00EE3E9E" w:rsidP="00EE3E9E">
                      <w:pPr>
                        <w:pStyle w:val="BasicParagraph"/>
                        <w:suppressAutoHyphens/>
                        <w:spacing w:line="240" w:lineRule="auto"/>
                        <w:rPr>
                          <w:rFonts w:ascii="Calibri" w:hAnsi="Calibri" w:cs="Calibri"/>
                          <w:sz w:val="22"/>
                          <w:szCs w:val="22"/>
                        </w:rPr>
                      </w:pPr>
                      <w:r>
                        <w:rPr>
                          <w:rFonts w:ascii="Calibri" w:hAnsi="Calibri" w:cs="Calibri"/>
                          <w:sz w:val="22"/>
                          <w:szCs w:val="22"/>
                        </w:rPr>
                        <w:t xml:space="preserve">As a Closed POD, you should expect to provide medications to all employees and their families. Long-distance commuters should be included in the planning process, but they are NOT required to attend your POD. It may be more convenient for these individuals to attend Open (public) PODs near their residences. </w:t>
                      </w:r>
                    </w:p>
                    <w:p w:rsidR="00EE3E9E" w:rsidRDefault="00EE3E9E" w:rsidP="00EE3E9E">
                      <w:pPr>
                        <w:pStyle w:val="BasicParagraph"/>
                        <w:suppressAutoHyphens/>
                        <w:spacing w:line="240" w:lineRule="auto"/>
                        <w:rPr>
                          <w:rFonts w:ascii="Calibri" w:hAnsi="Calibri" w:cs="Calibri"/>
                          <w:sz w:val="22"/>
                          <w:szCs w:val="22"/>
                        </w:rPr>
                      </w:pPr>
                    </w:p>
                    <w:p w:rsidR="00EE3E9E" w:rsidRDefault="00EE3E9E" w:rsidP="00EE3E9E">
                      <w:pPr>
                        <w:pStyle w:val="BasicParagraph"/>
                        <w:suppressAutoHyphens/>
                        <w:spacing w:line="240" w:lineRule="auto"/>
                        <w:rPr>
                          <w:rFonts w:ascii="Calibri" w:hAnsi="Calibri" w:cs="Calibri"/>
                          <w:sz w:val="22"/>
                          <w:szCs w:val="22"/>
                        </w:rPr>
                      </w:pPr>
                      <w:r>
                        <w:rPr>
                          <w:rFonts w:ascii="Calibri" w:hAnsi="Calibri" w:cs="Calibri"/>
                          <w:b/>
                          <w:bCs/>
                          <w:sz w:val="26"/>
                          <w:szCs w:val="26"/>
                        </w:rPr>
                        <w:t>Could some parts of the region be affected more than others?</w:t>
                      </w:r>
                    </w:p>
                    <w:p w:rsidR="00EE3E9E" w:rsidRDefault="00EE3E9E" w:rsidP="00EE3E9E">
                      <w:pPr>
                        <w:pStyle w:val="BasicParagraph"/>
                        <w:suppressAutoHyphens/>
                        <w:spacing w:line="240" w:lineRule="auto"/>
                        <w:rPr>
                          <w:rFonts w:ascii="Calibri" w:hAnsi="Calibri" w:cs="Calibri"/>
                          <w:sz w:val="22"/>
                          <w:szCs w:val="22"/>
                        </w:rPr>
                      </w:pPr>
                      <w:r>
                        <w:rPr>
                          <w:rFonts w:ascii="Calibri" w:hAnsi="Calibri" w:cs="Calibri"/>
                          <w:sz w:val="22"/>
                          <w:szCs w:val="22"/>
                        </w:rPr>
                        <w:t xml:space="preserve">Public health emergencies can vary dramatically depending on factors such as weather, the disease, the mode of transmission, etc. It is entirely possible that some parts of the region may be required to provide emergency medications while others may not. OCHD will use epidemiology—the study and/or investigation of diseases and outbreaks in a defined area or population—to determine the full impact of the public health emergency. Please be aware that even though an emergency event might occur, the services of your Closed POD may not be needed. OCHD will provide up-to-date information throughout the </w:t>
                      </w:r>
                      <w:r>
                        <w:rPr>
                          <w:rFonts w:ascii="Calibri" w:hAnsi="Calibri" w:cs="Calibri"/>
                          <w:sz w:val="22"/>
                          <w:szCs w:val="22"/>
                        </w:rPr>
                        <w:t>incident</w:t>
                      </w:r>
                      <w:r>
                        <w:rPr>
                          <w:rFonts w:ascii="Calibri" w:hAnsi="Calibri" w:cs="Calibri"/>
                          <w:sz w:val="22"/>
                          <w:szCs w:val="22"/>
                        </w:rPr>
                        <w:t>.</w:t>
                      </w:r>
                    </w:p>
                    <w:p w:rsidR="00EE3E9E" w:rsidRDefault="00EE3E9E" w:rsidP="00EE3E9E">
                      <w:pPr>
                        <w:pStyle w:val="BasicParagraph"/>
                        <w:suppressAutoHyphens/>
                        <w:spacing w:line="240" w:lineRule="auto"/>
                        <w:rPr>
                          <w:rFonts w:ascii="Calibri" w:hAnsi="Calibri" w:cs="Calibri"/>
                          <w:sz w:val="22"/>
                          <w:szCs w:val="22"/>
                        </w:rPr>
                      </w:pPr>
                    </w:p>
                    <w:p w:rsidR="00EE3E9E" w:rsidRDefault="00EE3E9E" w:rsidP="00EE3E9E">
                      <w:pPr>
                        <w:pStyle w:val="BasicParagraph"/>
                        <w:suppressAutoHyphens/>
                        <w:spacing w:line="240" w:lineRule="auto"/>
                        <w:rPr>
                          <w:rFonts w:ascii="Calibri" w:hAnsi="Calibri" w:cs="Calibri"/>
                          <w:sz w:val="22"/>
                          <w:szCs w:val="22"/>
                        </w:rPr>
                      </w:pPr>
                      <w:r>
                        <w:rPr>
                          <w:rFonts w:ascii="Calibri" w:hAnsi="Calibri" w:cs="Calibri"/>
                          <w:b/>
                          <w:bCs/>
                          <w:sz w:val="26"/>
                          <w:szCs w:val="26"/>
                        </w:rPr>
                        <w:t xml:space="preserve">What if employees work in Oakland County, but live in another county?  </w:t>
                      </w:r>
                    </w:p>
                    <w:p w:rsidR="00EE3E9E" w:rsidRDefault="00EE3E9E" w:rsidP="00EE3E9E">
                      <w:pPr>
                        <w:pStyle w:val="BasicParagraph"/>
                        <w:suppressAutoHyphens/>
                        <w:spacing w:line="240" w:lineRule="auto"/>
                        <w:rPr>
                          <w:rFonts w:ascii="Calibri" w:hAnsi="Calibri" w:cs="Calibri"/>
                          <w:sz w:val="22"/>
                          <w:szCs w:val="22"/>
                        </w:rPr>
                      </w:pPr>
                      <w:r>
                        <w:rPr>
                          <w:rFonts w:ascii="Calibri" w:hAnsi="Calibri" w:cs="Calibri"/>
                          <w:sz w:val="22"/>
                          <w:szCs w:val="22"/>
                        </w:rPr>
                        <w:t xml:space="preserve">This plan is intended to cover all employees who work at your organization no matter where they reside. If an employee is unable to report to work, they may go to an Open POD in their resident county. </w:t>
                      </w:r>
                    </w:p>
                    <w:p w:rsidR="00EE3E9E" w:rsidRDefault="00EE3E9E" w:rsidP="00EE3E9E">
                      <w:pPr>
                        <w:pStyle w:val="BasicParagraph"/>
                        <w:suppressAutoHyphens/>
                        <w:spacing w:line="240" w:lineRule="auto"/>
                        <w:rPr>
                          <w:rFonts w:ascii="Calibri" w:hAnsi="Calibri" w:cs="Calibri"/>
                          <w:sz w:val="22"/>
                          <w:szCs w:val="22"/>
                        </w:rPr>
                      </w:pPr>
                    </w:p>
                    <w:p w:rsidR="00EE3E9E" w:rsidRDefault="00EE3E9E" w:rsidP="00EE3E9E">
                      <w:pPr>
                        <w:pStyle w:val="BasicParagraph"/>
                        <w:suppressAutoHyphens/>
                        <w:spacing w:line="240" w:lineRule="auto"/>
                        <w:rPr>
                          <w:rFonts w:ascii="Calibri" w:hAnsi="Calibri" w:cs="Calibri"/>
                          <w:sz w:val="22"/>
                          <w:szCs w:val="22"/>
                        </w:rPr>
                      </w:pPr>
                      <w:r>
                        <w:rPr>
                          <w:rFonts w:ascii="Calibri" w:hAnsi="Calibri" w:cs="Calibri"/>
                          <w:b/>
                          <w:bCs/>
                          <w:sz w:val="26"/>
                          <w:szCs w:val="26"/>
                        </w:rPr>
                        <w:t>What happens after dispensing operations are completed?</w:t>
                      </w:r>
                    </w:p>
                    <w:p w:rsidR="00EE3E9E" w:rsidRDefault="00EE3E9E" w:rsidP="00EE3E9E">
                      <w:pPr>
                        <w:pStyle w:val="BasicParagraph"/>
                        <w:suppressAutoHyphens/>
                        <w:spacing w:line="240" w:lineRule="auto"/>
                        <w:rPr>
                          <w:rFonts w:ascii="Calibri" w:hAnsi="Calibri" w:cs="Calibri"/>
                          <w:sz w:val="22"/>
                          <w:szCs w:val="22"/>
                        </w:rPr>
                      </w:pPr>
                      <w:r>
                        <w:rPr>
                          <w:rFonts w:ascii="Calibri" w:hAnsi="Calibri" w:cs="Calibri"/>
                          <w:sz w:val="22"/>
                          <w:szCs w:val="22"/>
                        </w:rPr>
                        <w:t>Upon notifying OCHD that you have completed your medication dispensing, you will be instructed to transition to recovery and provide the following to OCHD:</w:t>
                      </w:r>
                    </w:p>
                    <w:p w:rsidR="00EE3E9E" w:rsidRDefault="00EE3E9E" w:rsidP="00EE3E9E">
                      <w:pPr>
                        <w:pStyle w:val="BasicParagraph"/>
                        <w:numPr>
                          <w:ilvl w:val="0"/>
                          <w:numId w:val="1"/>
                        </w:numPr>
                        <w:suppressAutoHyphens/>
                        <w:spacing w:line="240" w:lineRule="auto"/>
                        <w:ind w:left="648" w:hanging="288"/>
                        <w:rPr>
                          <w:rFonts w:ascii="Calibri" w:hAnsi="Calibri" w:cs="Calibri"/>
                          <w:sz w:val="22"/>
                          <w:szCs w:val="22"/>
                        </w:rPr>
                      </w:pPr>
                      <w:r>
                        <w:rPr>
                          <w:rFonts w:ascii="Calibri" w:hAnsi="Calibri" w:cs="Calibri"/>
                          <w:sz w:val="22"/>
                          <w:szCs w:val="22"/>
                        </w:rPr>
                        <w:t>Any unused medications</w:t>
                      </w:r>
                    </w:p>
                    <w:p w:rsidR="00EE3E9E" w:rsidRDefault="00EE3E9E" w:rsidP="00EE3E9E">
                      <w:pPr>
                        <w:pStyle w:val="ListParagraph"/>
                        <w:numPr>
                          <w:ilvl w:val="0"/>
                          <w:numId w:val="1"/>
                        </w:numPr>
                        <w:spacing w:after="0" w:line="240" w:lineRule="auto"/>
                        <w:ind w:left="648" w:hanging="288"/>
                      </w:pPr>
                      <w:r w:rsidRPr="00EE3E9E">
                        <w:rPr>
                          <w:rFonts w:ascii="Calibri" w:hAnsi="Calibri" w:cs="Calibri"/>
                        </w:rPr>
                        <w:t>Copies of all Head of Household medication screening forms</w:t>
                      </w:r>
                    </w:p>
                  </w:txbxContent>
                </v:textbox>
              </v:shape>
            </w:pict>
          </mc:Fallback>
        </mc:AlternateContent>
      </w:r>
      <w:r w:rsidRPr="00EE3E9E">
        <w:rPr>
          <w:rFonts w:ascii="Calibri" w:hAnsi="Calibri" w:cs="Calibri"/>
          <w:noProof/>
        </w:rPr>
        <mc:AlternateContent>
          <mc:Choice Requires="wps">
            <w:drawing>
              <wp:anchor distT="0" distB="0" distL="114300" distR="114300" simplePos="0" relativeHeight="251659264" behindDoc="0" locked="0" layoutInCell="1" allowOverlap="1" wp14:anchorId="78242079" wp14:editId="1CFECB74">
                <wp:simplePos x="0" y="0"/>
                <wp:positionH relativeFrom="column">
                  <wp:posOffset>-180340</wp:posOffset>
                </wp:positionH>
                <wp:positionV relativeFrom="paragraph">
                  <wp:posOffset>1166559</wp:posOffset>
                </wp:positionV>
                <wp:extent cx="3288484" cy="6971252"/>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484" cy="6971252"/>
                        </a:xfrm>
                        <a:prstGeom prst="rect">
                          <a:avLst/>
                        </a:prstGeom>
                        <a:noFill/>
                        <a:ln w="9525">
                          <a:noFill/>
                          <a:miter lim="800000"/>
                          <a:headEnd/>
                          <a:tailEnd/>
                        </a:ln>
                      </wps:spPr>
                      <wps:txbx>
                        <w:txbxContent>
                          <w:p w:rsidR="00EE3E9E" w:rsidRDefault="00EE3E9E" w:rsidP="00EE3E9E">
                            <w:pPr>
                              <w:pStyle w:val="BasicParagraph"/>
                              <w:suppressAutoHyphens/>
                              <w:spacing w:line="240" w:lineRule="auto"/>
                              <w:rPr>
                                <w:rFonts w:ascii="Calibri" w:hAnsi="Calibri" w:cs="Calibri"/>
                                <w:sz w:val="22"/>
                                <w:szCs w:val="22"/>
                              </w:rPr>
                            </w:pPr>
                            <w:r>
                              <w:rPr>
                                <w:rFonts w:ascii="Calibri" w:hAnsi="Calibri" w:cs="Calibri"/>
                                <w:b/>
                                <w:bCs/>
                                <w:sz w:val="26"/>
                                <w:szCs w:val="26"/>
                              </w:rPr>
                              <w:t>What is the liability for providing medications to employees and their family members?</w:t>
                            </w:r>
                          </w:p>
                          <w:p w:rsidR="00EE3E9E" w:rsidRDefault="00EE3E9E" w:rsidP="00EE3E9E">
                            <w:pPr>
                              <w:pStyle w:val="BasicParagraph"/>
                              <w:suppressAutoHyphens/>
                              <w:spacing w:line="240" w:lineRule="auto"/>
                              <w:rPr>
                                <w:rFonts w:ascii="Calibri" w:hAnsi="Calibri" w:cs="Calibri"/>
                                <w:sz w:val="22"/>
                                <w:szCs w:val="22"/>
                              </w:rPr>
                            </w:pPr>
                            <w:r>
                              <w:rPr>
                                <w:rFonts w:ascii="Calibri" w:hAnsi="Calibri" w:cs="Calibri"/>
                                <w:sz w:val="22"/>
                                <w:szCs w:val="22"/>
                              </w:rPr>
                              <w:t xml:space="preserve">Liability issues are a common concern that employers have expressed when asked to distribute or dispense medical countermeasures on behalf of public health. Liability protection is provided to organizations at the federal level when a Public Readiness Emergency Preparedness (PREP) Act declaration is issued. </w:t>
                            </w:r>
                          </w:p>
                          <w:p w:rsidR="00EE3E9E" w:rsidRDefault="00EE3E9E" w:rsidP="00EE3E9E">
                            <w:pPr>
                              <w:pStyle w:val="BasicParagraph"/>
                              <w:suppressAutoHyphens/>
                              <w:spacing w:line="240" w:lineRule="auto"/>
                              <w:rPr>
                                <w:rFonts w:ascii="Calibri" w:hAnsi="Calibri" w:cs="Calibri"/>
                                <w:sz w:val="22"/>
                                <w:szCs w:val="22"/>
                              </w:rPr>
                            </w:pPr>
                          </w:p>
                          <w:p w:rsidR="00EE3E9E" w:rsidRDefault="00EE3E9E" w:rsidP="00EE3E9E">
                            <w:pPr>
                              <w:pStyle w:val="BasicParagraph"/>
                              <w:suppressAutoHyphens/>
                              <w:spacing w:line="240" w:lineRule="auto"/>
                              <w:rPr>
                                <w:rFonts w:ascii="Calibri" w:hAnsi="Calibri" w:cs="Calibri"/>
                                <w:sz w:val="22"/>
                                <w:szCs w:val="22"/>
                              </w:rPr>
                            </w:pPr>
                            <w:r>
                              <w:rPr>
                                <w:rFonts w:ascii="Calibri" w:hAnsi="Calibri" w:cs="Calibri"/>
                                <w:sz w:val="22"/>
                                <w:szCs w:val="22"/>
                              </w:rPr>
                              <w:t xml:space="preserve">The PREP Act authorizes the Secretary of the US Department of Health and Human Services to issue a PREP Act declaration in response to a public health emergency. A PREP Act declaration provides immunity from tort liability claims (except willful misconduct) to individuals or organizations involved in the manufacture, distribution, or dispensing of medical countermeasures. PREP Act declarations have been issued many times in the past. The most recent example was H1N1 in 2009. </w:t>
                            </w:r>
                          </w:p>
                          <w:p w:rsidR="00EE3E9E" w:rsidRDefault="00EE3E9E" w:rsidP="00EE3E9E">
                            <w:pPr>
                              <w:pStyle w:val="BasicParagraph"/>
                              <w:suppressAutoHyphens/>
                              <w:spacing w:line="240" w:lineRule="auto"/>
                              <w:rPr>
                                <w:rFonts w:ascii="Calibri" w:hAnsi="Calibri" w:cs="Calibri"/>
                                <w:sz w:val="22"/>
                                <w:szCs w:val="22"/>
                              </w:rPr>
                            </w:pPr>
                          </w:p>
                          <w:p w:rsidR="00EE3E9E" w:rsidRDefault="00EE3E9E" w:rsidP="00EE3E9E">
                            <w:pPr>
                              <w:pStyle w:val="BasicParagraph"/>
                              <w:suppressAutoHyphens/>
                              <w:spacing w:line="240" w:lineRule="auto"/>
                              <w:rPr>
                                <w:rFonts w:ascii="Calibri" w:hAnsi="Calibri" w:cs="Calibri"/>
                                <w:sz w:val="22"/>
                                <w:szCs w:val="22"/>
                              </w:rPr>
                            </w:pPr>
                            <w:r>
                              <w:rPr>
                                <w:rFonts w:ascii="Calibri" w:hAnsi="Calibri" w:cs="Calibri"/>
                                <w:b/>
                                <w:bCs/>
                                <w:sz w:val="26"/>
                                <w:szCs w:val="26"/>
                              </w:rPr>
                              <w:t>Is it possible that our organization will need to operate a Closed POD after hours, during the weekend, or on a holiday?</w:t>
                            </w:r>
                          </w:p>
                          <w:p w:rsidR="00EE3E9E" w:rsidRDefault="00EE3E9E" w:rsidP="00EE3E9E">
                            <w:pPr>
                              <w:spacing w:after="0" w:line="240" w:lineRule="auto"/>
                            </w:pPr>
                            <w:r>
                              <w:rPr>
                                <w:rFonts w:ascii="Calibri" w:hAnsi="Calibri" w:cs="Calibri"/>
                              </w:rPr>
                              <w:t>Public health emergencies can strike at any time. It is essential that your organization be prepared to operate your Closed POD during non-working hours. Preparing your facility by developing after-hours contact lists for key individuals, evaluating your facility and determining how long it would take to open and provide services, and developing communication/notification procedures to alert and inform your employees during non-working hours will provide for a quick and efficient POD if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4.2pt;margin-top:91.85pt;width:258.95pt;height:54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YT4EAIAAPwDAAAOAAAAZHJzL2Uyb0RvYy54bWysU9tuGyEQfa/Uf0C817ve2LG9Mo7SpKkq&#10;pRcp6QdglvWiAkMBe9f9+gys41rtW1UeEDDMYc6Zw/pmMJocpA8KLKPTSUmJtAIaZXeMfn9+eLek&#10;JERuG67BSkaPMtCbzds3697VsoIOdCM9QRAb6t4x2sXo6qIIopOGhwk4aTHYgjc84tbvisbzHtGN&#10;LqqyvC568I3zIGQIeHo/Bukm47etFPFr2wYZiWYUa4t59nneprnYrHm989x1SpzK4P9QheHK4qNn&#10;qHseOdl79ReUUcJDgDZOBJgC2lYJmTkgm2n5B5unjjuZuaA4wZ1lCv8PVnw5fPNENYxelQtKLDfY&#10;pGc5RPIeBlIlfXoXarz25PBiHPAY+5y5BvcI4kcgFu46bnfy1nvoO8kbrG+aMouL1BEnJJBt/xka&#10;fIbvI2SgofUmiYdyEETHPh3PvUmlCDy8qpbL2XJGicDY9Woxrea5uoLXr+nOh/hRgiFpwajH5md4&#10;fngMMZXD69cr6TULD0rrbABtSc/oal7Nc8JFxKiI/tTKMLos0xgdk1h+sE1OjlzpcY0PaHuinZiO&#10;nOOwHbLCZzW30BxRBw+jHfH74KID/4uSHq3IaPi5515Soj9Z1HI1nc2Sd/NmNl9UuPGXke1lhFuB&#10;UIxGSsblXcx+Hynfouatymqk5oyVnEpGi2WRTt8hefhyn2/9/rSbFwAAAP//AwBQSwMEFAAGAAgA&#10;AAAhAJ76b4rfAAAADAEAAA8AAABkcnMvZG93bnJldi54bWxMj8FOwzAMhu9IvENkJG5bstJCVppO&#10;CMQVxGCTuGWt11Y0TtVka3l7zAmO9v/p9+diM7tenHEMnScDq6UCgVT5uqPGwMf780KDCNFSbXtP&#10;aOAbA2zKy4vC5rWf6A3P29gILqGQWwNtjEMuZahadDYs/YDE2dGPzkYex0bWo5243PUyUepWOtsR&#10;X2jtgI8tVl/bkzOwezl+7lP12jy5bJj8rCS5tTTm+mp+uAcRcY5/MPzqszqU7HTwJ6qD6A0sEp0y&#10;yoG+uQPBRKrXGYgDbxK9ykCWhfz/RPkDAAD//wMAUEsBAi0AFAAGAAgAAAAhALaDOJL+AAAA4QEA&#10;ABMAAAAAAAAAAAAAAAAAAAAAAFtDb250ZW50X1R5cGVzXS54bWxQSwECLQAUAAYACAAAACEAOP0h&#10;/9YAAACUAQAACwAAAAAAAAAAAAAAAAAvAQAAX3JlbHMvLnJlbHNQSwECLQAUAAYACAAAACEA4gmE&#10;+BACAAD8AwAADgAAAAAAAAAAAAAAAAAuAgAAZHJzL2Uyb0RvYy54bWxQSwECLQAUAAYACAAAACEA&#10;nvpvit8AAAAMAQAADwAAAAAAAAAAAAAAAABqBAAAZHJzL2Rvd25yZXYueG1sUEsFBgAAAAAEAAQA&#10;8wAAAHYFAAAAAA==&#10;" filled="f" stroked="f">
                <v:textbox>
                  <w:txbxContent>
                    <w:p w:rsidR="00EE3E9E" w:rsidRDefault="00EE3E9E" w:rsidP="00EE3E9E">
                      <w:pPr>
                        <w:pStyle w:val="BasicParagraph"/>
                        <w:suppressAutoHyphens/>
                        <w:spacing w:line="240" w:lineRule="auto"/>
                        <w:rPr>
                          <w:rFonts w:ascii="Calibri" w:hAnsi="Calibri" w:cs="Calibri"/>
                          <w:sz w:val="22"/>
                          <w:szCs w:val="22"/>
                        </w:rPr>
                      </w:pPr>
                      <w:r>
                        <w:rPr>
                          <w:rFonts w:ascii="Calibri" w:hAnsi="Calibri" w:cs="Calibri"/>
                          <w:b/>
                          <w:bCs/>
                          <w:sz w:val="26"/>
                          <w:szCs w:val="26"/>
                        </w:rPr>
                        <w:t>What is the liability for providing medications to employees and their family members?</w:t>
                      </w:r>
                    </w:p>
                    <w:p w:rsidR="00EE3E9E" w:rsidRDefault="00EE3E9E" w:rsidP="00EE3E9E">
                      <w:pPr>
                        <w:pStyle w:val="BasicParagraph"/>
                        <w:suppressAutoHyphens/>
                        <w:spacing w:line="240" w:lineRule="auto"/>
                        <w:rPr>
                          <w:rFonts w:ascii="Calibri" w:hAnsi="Calibri" w:cs="Calibri"/>
                          <w:sz w:val="22"/>
                          <w:szCs w:val="22"/>
                        </w:rPr>
                      </w:pPr>
                      <w:r>
                        <w:rPr>
                          <w:rFonts w:ascii="Calibri" w:hAnsi="Calibri" w:cs="Calibri"/>
                          <w:sz w:val="22"/>
                          <w:szCs w:val="22"/>
                        </w:rPr>
                        <w:t xml:space="preserve">Liability issues are a common concern that employers have expressed when asked to distribute or dispense medical countermeasures on behalf of public health. Liability protection is provided to organizations at the federal level when a Public Readiness Emergency Preparedness (PREP) Act declaration is issued. </w:t>
                      </w:r>
                    </w:p>
                    <w:p w:rsidR="00EE3E9E" w:rsidRDefault="00EE3E9E" w:rsidP="00EE3E9E">
                      <w:pPr>
                        <w:pStyle w:val="BasicParagraph"/>
                        <w:suppressAutoHyphens/>
                        <w:spacing w:line="240" w:lineRule="auto"/>
                        <w:rPr>
                          <w:rFonts w:ascii="Calibri" w:hAnsi="Calibri" w:cs="Calibri"/>
                          <w:sz w:val="22"/>
                          <w:szCs w:val="22"/>
                        </w:rPr>
                      </w:pPr>
                    </w:p>
                    <w:p w:rsidR="00EE3E9E" w:rsidRDefault="00EE3E9E" w:rsidP="00EE3E9E">
                      <w:pPr>
                        <w:pStyle w:val="BasicParagraph"/>
                        <w:suppressAutoHyphens/>
                        <w:spacing w:line="240" w:lineRule="auto"/>
                        <w:rPr>
                          <w:rFonts w:ascii="Calibri" w:hAnsi="Calibri" w:cs="Calibri"/>
                          <w:sz w:val="22"/>
                          <w:szCs w:val="22"/>
                        </w:rPr>
                      </w:pPr>
                      <w:r>
                        <w:rPr>
                          <w:rFonts w:ascii="Calibri" w:hAnsi="Calibri" w:cs="Calibri"/>
                          <w:sz w:val="22"/>
                          <w:szCs w:val="22"/>
                        </w:rPr>
                        <w:t xml:space="preserve">The PREP Act authorizes the Secretary of the US Department of Health and Human Services to issue a PREP Act declaration in response to a public health emergency. A PREP Act declaration provides immunity from tort liability claims (except willful misconduct) to individuals or organizations involved in the manufacture, distribution, or dispensing of medical countermeasures. PREP Act declarations have been issued many times in the past. The most recent example was H1N1 in 2009. </w:t>
                      </w:r>
                    </w:p>
                    <w:p w:rsidR="00EE3E9E" w:rsidRDefault="00EE3E9E" w:rsidP="00EE3E9E">
                      <w:pPr>
                        <w:pStyle w:val="BasicParagraph"/>
                        <w:suppressAutoHyphens/>
                        <w:spacing w:line="240" w:lineRule="auto"/>
                        <w:rPr>
                          <w:rFonts w:ascii="Calibri" w:hAnsi="Calibri" w:cs="Calibri"/>
                          <w:sz w:val="22"/>
                          <w:szCs w:val="22"/>
                        </w:rPr>
                      </w:pPr>
                    </w:p>
                    <w:p w:rsidR="00EE3E9E" w:rsidRDefault="00EE3E9E" w:rsidP="00EE3E9E">
                      <w:pPr>
                        <w:pStyle w:val="BasicParagraph"/>
                        <w:suppressAutoHyphens/>
                        <w:spacing w:line="240" w:lineRule="auto"/>
                        <w:rPr>
                          <w:rFonts w:ascii="Calibri" w:hAnsi="Calibri" w:cs="Calibri"/>
                          <w:sz w:val="22"/>
                          <w:szCs w:val="22"/>
                        </w:rPr>
                      </w:pPr>
                      <w:r>
                        <w:rPr>
                          <w:rFonts w:ascii="Calibri" w:hAnsi="Calibri" w:cs="Calibri"/>
                          <w:b/>
                          <w:bCs/>
                          <w:sz w:val="26"/>
                          <w:szCs w:val="26"/>
                        </w:rPr>
                        <w:t>Is it possible that our organization will need to operate a Closed POD after hours, during the weekend, or on a holiday?</w:t>
                      </w:r>
                    </w:p>
                    <w:p w:rsidR="00EE3E9E" w:rsidRDefault="00EE3E9E" w:rsidP="00EE3E9E">
                      <w:pPr>
                        <w:spacing w:after="0" w:line="240" w:lineRule="auto"/>
                      </w:pPr>
                      <w:r>
                        <w:rPr>
                          <w:rFonts w:ascii="Calibri" w:hAnsi="Calibri" w:cs="Calibri"/>
                        </w:rPr>
                        <w:t>Public health emergencies can strike at any time. It is essential that your organization be prepared to operate your Closed POD during non-working hours. Preparing your facility by developing after-hours contact lists for key individuals, evaluating your facility and determining how long it would take to open and provide services, and developing communication/notification procedures to alert and inform your employees during non-working hours will provide for a quick and efficient POD if necessary.</w:t>
                      </w:r>
                    </w:p>
                  </w:txbxContent>
                </v:textbox>
              </v:shape>
            </w:pict>
          </mc:Fallback>
        </mc:AlternateContent>
      </w:r>
    </w:p>
    <w:sectPr w:rsidR="00A62B15" w:rsidSect="00A62B15">
      <w:headerReference w:type="default" r:id="rId8"/>
      <w:footerReference w:type="default" r:id="rId9"/>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ABD" w:rsidRDefault="00666ABD" w:rsidP="0064053C">
      <w:pPr>
        <w:spacing w:after="0" w:line="240" w:lineRule="auto"/>
      </w:pPr>
      <w:r>
        <w:separator/>
      </w:r>
    </w:p>
  </w:endnote>
  <w:endnote w:type="continuationSeparator" w:id="0">
    <w:p w:rsidR="00666ABD" w:rsidRDefault="00666ABD" w:rsidP="00640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53C" w:rsidRDefault="0064053C">
    <w:pPr>
      <w:pStyle w:val="Footer"/>
    </w:pPr>
    <w:r>
      <w:rPr>
        <w:noProof/>
      </w:rPr>
      <w:drawing>
        <wp:anchor distT="0" distB="0" distL="114300" distR="114300" simplePos="0" relativeHeight="251659264" behindDoc="0" locked="1" layoutInCell="1" allowOverlap="1" wp14:anchorId="190958FF" wp14:editId="16A7E51D">
          <wp:simplePos x="0" y="0"/>
          <wp:positionH relativeFrom="column">
            <wp:posOffset>-464185</wp:posOffset>
          </wp:positionH>
          <wp:positionV relativeFrom="paragraph">
            <wp:posOffset>208280</wp:posOffset>
          </wp:positionV>
          <wp:extent cx="7818120" cy="4203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818120" cy="4203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ABD" w:rsidRDefault="00666ABD" w:rsidP="0064053C">
      <w:pPr>
        <w:spacing w:after="0" w:line="240" w:lineRule="auto"/>
      </w:pPr>
      <w:r>
        <w:separator/>
      </w:r>
    </w:p>
  </w:footnote>
  <w:footnote w:type="continuationSeparator" w:id="0">
    <w:p w:rsidR="00666ABD" w:rsidRDefault="00666ABD" w:rsidP="006405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53C" w:rsidRDefault="0064053C">
    <w:pPr>
      <w:pStyle w:val="Header"/>
    </w:pPr>
    <w:r>
      <w:rPr>
        <w:noProof/>
      </w:rPr>
      <w:drawing>
        <wp:anchor distT="0" distB="0" distL="114300" distR="114300" simplePos="0" relativeHeight="251658240" behindDoc="0" locked="1" layoutInCell="1" allowOverlap="1" wp14:anchorId="1100E33F" wp14:editId="6A1A966A">
          <wp:simplePos x="0" y="0"/>
          <wp:positionH relativeFrom="column">
            <wp:posOffset>-453390</wp:posOffset>
          </wp:positionH>
          <wp:positionV relativeFrom="paragraph">
            <wp:posOffset>-454660</wp:posOffset>
          </wp:positionV>
          <wp:extent cx="7784465" cy="2387600"/>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84465" cy="238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D2D69"/>
    <w:multiLevelType w:val="hybridMultilevel"/>
    <w:tmpl w:val="A72CB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53C"/>
    <w:rsid w:val="00415A5B"/>
    <w:rsid w:val="005C7FE9"/>
    <w:rsid w:val="0064053C"/>
    <w:rsid w:val="00666ABD"/>
    <w:rsid w:val="00751CC3"/>
    <w:rsid w:val="00A62B15"/>
    <w:rsid w:val="00DB133C"/>
    <w:rsid w:val="00E36297"/>
    <w:rsid w:val="00EE3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C7F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autoRedefine/>
    <w:uiPriority w:val="1"/>
    <w:qFormat/>
    <w:rsid w:val="00E36297"/>
    <w:pPr>
      <w:spacing w:after="0" w:line="240" w:lineRule="auto"/>
    </w:pPr>
    <w:rPr>
      <w:rFonts w:ascii="Arial" w:hAnsi="Arial"/>
      <w:sz w:val="24"/>
    </w:rPr>
  </w:style>
  <w:style w:type="paragraph" w:styleId="Header">
    <w:name w:val="header"/>
    <w:basedOn w:val="Normal"/>
    <w:link w:val="HeaderChar"/>
    <w:uiPriority w:val="99"/>
    <w:unhideWhenUsed/>
    <w:rsid w:val="006405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53C"/>
  </w:style>
  <w:style w:type="paragraph" w:styleId="Footer">
    <w:name w:val="footer"/>
    <w:basedOn w:val="Normal"/>
    <w:link w:val="FooterChar"/>
    <w:uiPriority w:val="99"/>
    <w:unhideWhenUsed/>
    <w:rsid w:val="00640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53C"/>
  </w:style>
  <w:style w:type="paragraph" w:styleId="BalloonText">
    <w:name w:val="Balloon Text"/>
    <w:basedOn w:val="Normal"/>
    <w:link w:val="BalloonTextChar"/>
    <w:uiPriority w:val="99"/>
    <w:semiHidden/>
    <w:unhideWhenUsed/>
    <w:rsid w:val="00640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53C"/>
    <w:rPr>
      <w:rFonts w:ascii="Tahoma" w:hAnsi="Tahoma" w:cs="Tahoma"/>
      <w:sz w:val="16"/>
      <w:szCs w:val="16"/>
    </w:rPr>
  </w:style>
  <w:style w:type="paragraph" w:customStyle="1" w:styleId="BasicParagraph">
    <w:name w:val="[Basic Paragraph]"/>
    <w:basedOn w:val="Normal"/>
    <w:uiPriority w:val="99"/>
    <w:rsid w:val="0064053C"/>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ListParagraph">
    <w:name w:val="List Paragraph"/>
    <w:basedOn w:val="Normal"/>
    <w:uiPriority w:val="34"/>
    <w:qFormat/>
    <w:rsid w:val="00EE3E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C7F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autoRedefine/>
    <w:uiPriority w:val="1"/>
    <w:qFormat/>
    <w:rsid w:val="00E36297"/>
    <w:pPr>
      <w:spacing w:after="0" w:line="240" w:lineRule="auto"/>
    </w:pPr>
    <w:rPr>
      <w:rFonts w:ascii="Arial" w:hAnsi="Arial"/>
      <w:sz w:val="24"/>
    </w:rPr>
  </w:style>
  <w:style w:type="paragraph" w:styleId="Header">
    <w:name w:val="header"/>
    <w:basedOn w:val="Normal"/>
    <w:link w:val="HeaderChar"/>
    <w:uiPriority w:val="99"/>
    <w:unhideWhenUsed/>
    <w:rsid w:val="006405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53C"/>
  </w:style>
  <w:style w:type="paragraph" w:styleId="Footer">
    <w:name w:val="footer"/>
    <w:basedOn w:val="Normal"/>
    <w:link w:val="FooterChar"/>
    <w:uiPriority w:val="99"/>
    <w:unhideWhenUsed/>
    <w:rsid w:val="00640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53C"/>
  </w:style>
  <w:style w:type="paragraph" w:styleId="BalloonText">
    <w:name w:val="Balloon Text"/>
    <w:basedOn w:val="Normal"/>
    <w:link w:val="BalloonTextChar"/>
    <w:uiPriority w:val="99"/>
    <w:semiHidden/>
    <w:unhideWhenUsed/>
    <w:rsid w:val="00640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53C"/>
    <w:rPr>
      <w:rFonts w:ascii="Tahoma" w:hAnsi="Tahoma" w:cs="Tahoma"/>
      <w:sz w:val="16"/>
      <w:szCs w:val="16"/>
    </w:rPr>
  </w:style>
  <w:style w:type="paragraph" w:customStyle="1" w:styleId="BasicParagraph">
    <w:name w:val="[Basic Paragraph]"/>
    <w:basedOn w:val="Normal"/>
    <w:uiPriority w:val="99"/>
    <w:rsid w:val="0064053C"/>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ListParagraph">
    <w:name w:val="List Paragraph"/>
    <w:basedOn w:val="Normal"/>
    <w:uiPriority w:val="34"/>
    <w:qFormat/>
    <w:rsid w:val="00EE3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E842F7D640624A95A27827BA38AE1B" ma:contentTypeVersion="1" ma:contentTypeDescription="Create a new document." ma:contentTypeScope="" ma:versionID="20992d6ff5aa236956e9e56c15d58b6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2D46D5-B72B-44C5-B6C6-5175DA26FF7E}"/>
</file>

<file path=customXml/itemProps2.xml><?xml version="1.0" encoding="utf-8"?>
<ds:datastoreItem xmlns:ds="http://schemas.openxmlformats.org/officeDocument/2006/customXml" ds:itemID="{440128DF-DE4A-4E7C-A90F-383DDCE4BFA8}"/>
</file>

<file path=customXml/itemProps3.xml><?xml version="1.0" encoding="utf-8"?>
<ds:datastoreItem xmlns:ds="http://schemas.openxmlformats.org/officeDocument/2006/customXml" ds:itemID="{612BB697-D442-4DBA-BF27-C011C6627923}"/>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Closed POD FAQ Template</dc:title>
  <dc:creator>Javit,Lindsay Ann</dc:creator>
  <cp:lastModifiedBy>Javit,Lindsay Ann</cp:lastModifiedBy>
  <cp:revision>2</cp:revision>
  <dcterms:created xsi:type="dcterms:W3CDTF">2014-05-06T16:39:00Z</dcterms:created>
  <dcterms:modified xsi:type="dcterms:W3CDTF">2014-05-06T16:39:00Z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0x01010073E842F7D640624A95A27827BA38AE1B</vt:lpwstr>
  </property>
  <property fmtid="{D5CDD505-2E9C-101B-9397-08002B2CF9AE}" pid="3" name="Order">
    <vt:r8>6700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